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7B" w:rsidRDefault="00A4247B"/>
    <w:tbl>
      <w:tblPr>
        <w:tblW w:w="0" w:type="auto"/>
        <w:tblCellMar>
          <w:left w:w="0" w:type="dxa"/>
          <w:right w:w="0" w:type="dxa"/>
        </w:tblCellMar>
        <w:tblLook w:val="04A0" w:firstRow="1" w:lastRow="0" w:firstColumn="1" w:lastColumn="0" w:noHBand="0" w:noVBand="1"/>
      </w:tblPr>
      <w:tblGrid>
        <w:gridCol w:w="1575"/>
        <w:gridCol w:w="7667"/>
      </w:tblGrid>
      <w:tr w:rsidR="00392152" w:rsidTr="00C6696D">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152" w:rsidRPr="00F60905" w:rsidRDefault="00392152" w:rsidP="00C6696D">
            <w:pPr>
              <w:rPr>
                <w:b/>
              </w:rPr>
            </w:pPr>
            <w:r w:rsidRPr="00F60905">
              <w:rPr>
                <w:b/>
              </w:rPr>
              <w:t>Service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2152" w:rsidRPr="001D5A20" w:rsidRDefault="00A77A85" w:rsidP="00C6696D">
            <w:r w:rsidRPr="001D5A20">
              <w:t>LEASEHOLD SALE</w:t>
            </w:r>
          </w:p>
        </w:tc>
      </w:tr>
      <w:tr w:rsidR="00392152"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152" w:rsidRDefault="00392152" w:rsidP="00C6696D">
            <w:r>
              <w:rPr>
                <w:b/>
                <w:bCs/>
              </w:rPr>
              <w:t>Cost</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tbl>
            <w:tblPr>
              <w:tblpPr w:leftFromText="180" w:rightFromText="180" w:vertAnchor="text"/>
              <w:tblW w:w="7668" w:type="dxa"/>
              <w:tblCellMar>
                <w:left w:w="0" w:type="dxa"/>
                <w:right w:w="0" w:type="dxa"/>
              </w:tblCellMar>
              <w:tblLook w:val="04A0" w:firstRow="1" w:lastRow="0" w:firstColumn="1" w:lastColumn="0" w:noHBand="0" w:noVBand="1"/>
            </w:tblPr>
            <w:tblGrid>
              <w:gridCol w:w="7668"/>
            </w:tblGrid>
            <w:tr w:rsidR="009B5332" w:rsidRPr="009B5332" w:rsidTr="00C6696D">
              <w:tc>
                <w:tcPr>
                  <w:tcW w:w="3976" w:type="dxa"/>
                  <w:tcMar>
                    <w:top w:w="0" w:type="dxa"/>
                    <w:left w:w="108" w:type="dxa"/>
                    <w:bottom w:w="0" w:type="dxa"/>
                    <w:right w:w="108" w:type="dxa"/>
                  </w:tcMar>
                </w:tcPr>
                <w:tbl>
                  <w:tblPr>
                    <w:tblW w:w="3760" w:type="dxa"/>
                    <w:tblLook w:val="04A0" w:firstRow="1" w:lastRow="0" w:firstColumn="1" w:lastColumn="0" w:noHBand="0" w:noVBand="1"/>
                  </w:tblPr>
                  <w:tblGrid>
                    <w:gridCol w:w="1840"/>
                    <w:gridCol w:w="960"/>
                    <w:gridCol w:w="960"/>
                  </w:tblGrid>
                  <w:tr w:rsidR="009B5332" w:rsidRPr="009B5332" w:rsidTr="00C6696D">
                    <w:trPr>
                      <w:trHeight w:val="300"/>
                    </w:trPr>
                    <w:tc>
                      <w:tcPr>
                        <w:tcW w:w="1840" w:type="dxa"/>
                        <w:tcBorders>
                          <w:top w:val="nil"/>
                          <w:left w:val="nil"/>
                          <w:bottom w:val="nil"/>
                          <w:right w:val="nil"/>
                        </w:tcBorders>
                        <w:shd w:val="clear" w:color="auto" w:fill="auto"/>
                        <w:vAlign w:val="center"/>
                        <w:hideMark/>
                      </w:tcPr>
                      <w:p w:rsidR="00384C0B" w:rsidRPr="009B5332" w:rsidRDefault="00384C0B" w:rsidP="00384C0B">
                        <w:pPr>
                          <w:spacing w:after="0" w:line="240" w:lineRule="auto"/>
                          <w:jc w:val="center"/>
                          <w:rPr>
                            <w:rFonts w:eastAsia="Times New Roman" w:cs="Times New Roman"/>
                            <w:b/>
                            <w:bCs/>
                            <w:lang w:eastAsia="en-GB"/>
                          </w:rPr>
                        </w:pPr>
                        <w:r w:rsidRPr="009B5332">
                          <w:rPr>
                            <w:rFonts w:eastAsia="Times New Roman" w:cs="Times New Roman"/>
                            <w:b/>
                            <w:bCs/>
                            <w:lang w:eastAsia="en-GB"/>
                          </w:rPr>
                          <w:t>Property Value</w:t>
                        </w:r>
                      </w:p>
                    </w:tc>
                    <w:tc>
                      <w:tcPr>
                        <w:tcW w:w="960" w:type="dxa"/>
                        <w:tcBorders>
                          <w:top w:val="nil"/>
                          <w:left w:val="nil"/>
                          <w:bottom w:val="nil"/>
                          <w:right w:val="nil"/>
                        </w:tcBorders>
                        <w:shd w:val="clear" w:color="auto" w:fill="auto"/>
                        <w:vAlign w:val="center"/>
                        <w:hideMark/>
                      </w:tcPr>
                      <w:p w:rsidR="00384C0B" w:rsidRPr="009B5332" w:rsidRDefault="00384C0B" w:rsidP="00384C0B">
                        <w:pPr>
                          <w:spacing w:after="0" w:line="240" w:lineRule="auto"/>
                          <w:jc w:val="center"/>
                          <w:rPr>
                            <w:rFonts w:eastAsia="Times New Roman" w:cs="Times New Roman"/>
                            <w:b/>
                            <w:bCs/>
                            <w:lang w:eastAsia="en-GB"/>
                          </w:rPr>
                        </w:pPr>
                        <w:r w:rsidRPr="009B5332">
                          <w:rPr>
                            <w:rFonts w:eastAsia="Times New Roman" w:cs="Times New Roman"/>
                            <w:b/>
                            <w:bCs/>
                            <w:lang w:eastAsia="en-GB"/>
                          </w:rPr>
                          <w:t>Fees £</w:t>
                        </w:r>
                      </w:p>
                    </w:tc>
                    <w:tc>
                      <w:tcPr>
                        <w:tcW w:w="960" w:type="dxa"/>
                        <w:tcBorders>
                          <w:top w:val="nil"/>
                          <w:left w:val="nil"/>
                          <w:bottom w:val="nil"/>
                          <w:right w:val="nil"/>
                        </w:tcBorders>
                        <w:shd w:val="clear" w:color="auto" w:fill="auto"/>
                        <w:vAlign w:val="center"/>
                        <w:hideMark/>
                      </w:tcPr>
                      <w:p w:rsidR="00384C0B" w:rsidRPr="009B5332" w:rsidRDefault="00384C0B" w:rsidP="00384C0B">
                        <w:pPr>
                          <w:spacing w:after="0" w:line="240" w:lineRule="auto"/>
                          <w:jc w:val="center"/>
                          <w:rPr>
                            <w:rFonts w:eastAsia="Times New Roman" w:cs="Times New Roman"/>
                            <w:b/>
                            <w:bCs/>
                            <w:lang w:eastAsia="en-GB"/>
                          </w:rPr>
                        </w:pPr>
                        <w:r w:rsidRPr="009B5332">
                          <w:rPr>
                            <w:rFonts w:eastAsia="Times New Roman" w:cs="Times New Roman"/>
                            <w:b/>
                            <w:bCs/>
                            <w:lang w:eastAsia="en-GB"/>
                          </w:rPr>
                          <w:t>VAT £</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0-50k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425</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85</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51-100k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450</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90</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101-200k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475</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95</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201-250k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500</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100</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251-350k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550</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110</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351-500k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600</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120</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501-650k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700</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140</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651-850k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900</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180</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851-999k</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1050</w:t>
                        </w:r>
                      </w:p>
                    </w:tc>
                    <w:tc>
                      <w:tcPr>
                        <w:tcW w:w="960" w:type="dxa"/>
                        <w:tcBorders>
                          <w:top w:val="nil"/>
                          <w:left w:val="nil"/>
                          <w:bottom w:val="nil"/>
                          <w:right w:val="nil"/>
                        </w:tcBorders>
                        <w:shd w:val="clear" w:color="auto" w:fill="auto"/>
                        <w:hideMark/>
                      </w:tcPr>
                      <w:p w:rsidR="00384C0B" w:rsidRPr="009B5332" w:rsidRDefault="00384C0B" w:rsidP="00384C0B">
                        <w:pPr>
                          <w:spacing w:after="0" w:line="240" w:lineRule="auto"/>
                          <w:jc w:val="right"/>
                          <w:rPr>
                            <w:rFonts w:eastAsia="Times New Roman" w:cs="Times New Roman"/>
                            <w:lang w:eastAsia="en-GB"/>
                          </w:rPr>
                        </w:pPr>
                        <w:r w:rsidRPr="009B5332">
                          <w:rPr>
                            <w:rFonts w:eastAsia="Times New Roman" w:cs="Times New Roman"/>
                            <w:lang w:eastAsia="en-GB"/>
                          </w:rPr>
                          <w:t>210</w:t>
                        </w:r>
                      </w:p>
                    </w:tc>
                  </w:tr>
                  <w:tr w:rsidR="009B5332" w:rsidRPr="009B5332" w:rsidTr="00C6696D">
                    <w:trPr>
                      <w:trHeight w:val="300"/>
                    </w:trPr>
                    <w:tc>
                      <w:tcPr>
                        <w:tcW w:w="1840" w:type="dxa"/>
                        <w:tcBorders>
                          <w:top w:val="nil"/>
                          <w:left w:val="nil"/>
                          <w:bottom w:val="nil"/>
                          <w:right w:val="nil"/>
                        </w:tcBorders>
                        <w:shd w:val="clear" w:color="auto" w:fill="auto"/>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1m +</w:t>
                        </w:r>
                      </w:p>
                    </w:tc>
                    <w:tc>
                      <w:tcPr>
                        <w:tcW w:w="1920" w:type="dxa"/>
                        <w:gridSpan w:val="2"/>
                        <w:tcBorders>
                          <w:top w:val="nil"/>
                          <w:left w:val="nil"/>
                          <w:bottom w:val="nil"/>
                          <w:right w:val="nil"/>
                        </w:tcBorders>
                        <w:shd w:val="clear" w:color="auto" w:fill="auto"/>
                        <w:noWrap/>
                        <w:vAlign w:val="bottom"/>
                        <w:hideMark/>
                      </w:tcPr>
                      <w:p w:rsidR="00384C0B" w:rsidRPr="009B5332" w:rsidRDefault="00384C0B" w:rsidP="00384C0B">
                        <w:pPr>
                          <w:spacing w:after="0" w:line="240" w:lineRule="auto"/>
                          <w:rPr>
                            <w:rFonts w:eastAsia="Times New Roman" w:cs="Times New Roman"/>
                            <w:lang w:eastAsia="en-GB"/>
                          </w:rPr>
                        </w:pPr>
                        <w:r w:rsidRPr="009B5332">
                          <w:rPr>
                            <w:rFonts w:eastAsia="Times New Roman" w:cs="Times New Roman"/>
                            <w:lang w:eastAsia="en-GB"/>
                          </w:rPr>
                          <w:t>Call for quote</w:t>
                        </w:r>
                      </w:p>
                    </w:tc>
                  </w:tr>
                </w:tbl>
                <w:p w:rsidR="00384C0B" w:rsidRPr="009B5332" w:rsidRDefault="00384C0B" w:rsidP="00384C0B">
                  <w:pPr>
                    <w:jc w:val="center"/>
                    <w:rPr>
                      <w:b/>
                      <w:bCs/>
                    </w:rPr>
                  </w:pPr>
                </w:p>
              </w:tc>
            </w:tr>
            <w:tr w:rsidR="009B5332" w:rsidRPr="009B5332" w:rsidTr="00C6696D">
              <w:trPr>
                <w:trHeight w:val="80"/>
              </w:trPr>
              <w:tc>
                <w:tcPr>
                  <w:tcW w:w="3976" w:type="dxa"/>
                  <w:tcMar>
                    <w:top w:w="0" w:type="dxa"/>
                    <w:left w:w="108" w:type="dxa"/>
                    <w:bottom w:w="0" w:type="dxa"/>
                    <w:right w:w="108" w:type="dxa"/>
                  </w:tcMar>
                </w:tcPr>
                <w:p w:rsidR="00384C0B" w:rsidRPr="009B5332" w:rsidRDefault="00384C0B" w:rsidP="009B5332"/>
                <w:p w:rsidR="00384C0B" w:rsidRPr="009B5332" w:rsidRDefault="00384C0B" w:rsidP="009B5332">
                  <w:pPr>
                    <w:pStyle w:val="ListParagraph"/>
                    <w:numPr>
                      <w:ilvl w:val="0"/>
                      <w:numId w:val="5"/>
                    </w:numPr>
                  </w:pPr>
                  <w:r w:rsidRPr="009B5332">
                    <w:t>Bank transfer fee £36 per transfer</w:t>
                  </w:r>
                  <w:bookmarkStart w:id="0" w:name="_GoBack"/>
                  <w:bookmarkEnd w:id="0"/>
                </w:p>
              </w:tc>
            </w:tr>
          </w:tbl>
          <w:p w:rsidR="00A77A85" w:rsidRPr="009B5332" w:rsidRDefault="00A77A85" w:rsidP="009B5332">
            <w:pPr>
              <w:pStyle w:val="ListParagraph"/>
              <w:numPr>
                <w:ilvl w:val="0"/>
                <w:numId w:val="5"/>
              </w:numPr>
            </w:pPr>
            <w:r w:rsidRPr="009B5332">
              <w:t>Help to buy fee  £50.00 plus Vat</w:t>
            </w:r>
          </w:p>
          <w:p w:rsidR="00A77A85" w:rsidRPr="009B5332" w:rsidRDefault="00A77A85" w:rsidP="009B5332">
            <w:pPr>
              <w:pStyle w:val="ListParagraph"/>
              <w:numPr>
                <w:ilvl w:val="0"/>
                <w:numId w:val="5"/>
              </w:numPr>
            </w:pPr>
            <w:r w:rsidRPr="009B5332">
              <w:t>Leasehold additional charge of up to £175.00 plus vat depending on amount of work we are required to do</w:t>
            </w:r>
          </w:p>
          <w:p w:rsidR="00A77A85" w:rsidRPr="009B5332" w:rsidRDefault="00A77A85" w:rsidP="00A77A85">
            <w:pPr>
              <w:rPr>
                <w:lang w:eastAsia="en-GB"/>
              </w:rPr>
            </w:pPr>
            <w:r w:rsidRPr="009B5332">
              <w:rPr>
                <w:lang w:eastAsia="en-GB"/>
              </w:rPr>
              <w:t>Other factors which would increase costs are implementing indemnity policies for example missing documents, planning permissions building regulations</w:t>
            </w:r>
          </w:p>
          <w:p w:rsidR="00D903CD" w:rsidRPr="009B5332" w:rsidRDefault="00D903CD" w:rsidP="00D903CD">
            <w:pPr>
              <w:pStyle w:val="NormalWeb"/>
              <w:spacing w:before="0" w:beforeAutospacing="0" w:after="300" w:afterAutospacing="0" w:line="375" w:lineRule="atLeast"/>
              <w:rPr>
                <w:rFonts w:asciiTheme="minorHAnsi" w:hAnsiTheme="minorHAnsi" w:cs="Arial"/>
                <w:sz w:val="22"/>
                <w:szCs w:val="22"/>
              </w:rPr>
            </w:pPr>
            <w:r w:rsidRPr="009B5332">
              <w:rPr>
                <w:rFonts w:asciiTheme="minorHAnsi" w:hAnsiTheme="minorHAnsi" w:cs="Arial"/>
                <w:sz w:val="22"/>
                <w:szCs w:val="22"/>
              </w:rPr>
              <w:t>* Our fee assumes that:</w:t>
            </w:r>
          </w:p>
          <w:p w:rsidR="00D903CD" w:rsidRPr="009B5332" w:rsidRDefault="00D903CD" w:rsidP="00D903CD">
            <w:pPr>
              <w:numPr>
                <w:ilvl w:val="0"/>
                <w:numId w:val="3"/>
              </w:numPr>
              <w:spacing w:before="100" w:beforeAutospacing="1" w:after="225" w:line="240" w:lineRule="auto"/>
              <w:rPr>
                <w:rFonts w:eastAsia="Times New Roman" w:cs="Arial"/>
              </w:rPr>
            </w:pPr>
            <w:r w:rsidRPr="009B5332">
              <w:rPr>
                <w:rFonts w:eastAsia="Times New Roman" w:cs="Arial"/>
              </w:rPr>
              <w:t>this is a standard transaction and that no unforeseen matters arise including for example (but not limited to) a defect in title which requires remedying prior to completion or the preparation of additional documents ancillary to the main transaction</w:t>
            </w:r>
          </w:p>
          <w:p w:rsidR="00D903CD" w:rsidRPr="009B5332" w:rsidRDefault="00D903CD" w:rsidP="00D903CD">
            <w:pPr>
              <w:numPr>
                <w:ilvl w:val="0"/>
                <w:numId w:val="3"/>
              </w:numPr>
              <w:spacing w:before="100" w:beforeAutospacing="1" w:after="225" w:line="240" w:lineRule="auto"/>
              <w:rPr>
                <w:rFonts w:eastAsia="Times New Roman" w:cs="Arial"/>
              </w:rPr>
            </w:pPr>
            <w:r w:rsidRPr="009B5332">
              <w:rPr>
                <w:rFonts w:eastAsia="Times New Roman" w:cs="Arial"/>
              </w:rPr>
              <w:t>this is the assignment of an existing lease and is not the grant of a new lease</w:t>
            </w:r>
          </w:p>
          <w:p w:rsidR="00D903CD" w:rsidRPr="009B5332" w:rsidRDefault="00D903CD" w:rsidP="00D903CD">
            <w:pPr>
              <w:numPr>
                <w:ilvl w:val="0"/>
                <w:numId w:val="3"/>
              </w:numPr>
              <w:spacing w:before="100" w:beforeAutospacing="1" w:after="225" w:line="240" w:lineRule="auto"/>
              <w:rPr>
                <w:rFonts w:eastAsia="Times New Roman" w:cs="Arial"/>
              </w:rPr>
            </w:pPr>
            <w:r w:rsidRPr="009B5332">
              <w:rPr>
                <w:rFonts w:eastAsia="Times New Roman" w:cs="Arial"/>
              </w:rPr>
              <w:t>the transaction is concluded in a timely manner and no unforeseen complication arise</w:t>
            </w:r>
          </w:p>
          <w:p w:rsidR="00D903CD" w:rsidRPr="009B5332" w:rsidRDefault="00D903CD" w:rsidP="00D903CD">
            <w:pPr>
              <w:numPr>
                <w:ilvl w:val="0"/>
                <w:numId w:val="3"/>
              </w:numPr>
              <w:spacing w:before="100" w:beforeAutospacing="1" w:after="225" w:line="240" w:lineRule="auto"/>
              <w:rPr>
                <w:rFonts w:eastAsia="Times New Roman" w:cs="Arial"/>
              </w:rPr>
            </w:pPr>
            <w:r w:rsidRPr="009B5332">
              <w:rPr>
                <w:rFonts w:eastAsia="Times New Roman" w:cs="Arial"/>
              </w:rPr>
              <w:t>all parties to the transaction are co-operative and there is no unreasonable delay from third parties providing documentation</w:t>
            </w:r>
          </w:p>
          <w:p w:rsidR="00D903CD" w:rsidRPr="009B5332" w:rsidRDefault="00D903CD" w:rsidP="00D903CD">
            <w:pPr>
              <w:numPr>
                <w:ilvl w:val="0"/>
                <w:numId w:val="3"/>
              </w:numPr>
              <w:spacing w:before="100" w:beforeAutospacing="1" w:after="225" w:line="240" w:lineRule="auto"/>
              <w:rPr>
                <w:rFonts w:eastAsia="Times New Roman" w:cs="Arial"/>
              </w:rPr>
            </w:pPr>
            <w:proofErr w:type="gramStart"/>
            <w:r w:rsidRPr="009B5332">
              <w:rPr>
                <w:rFonts w:eastAsia="Times New Roman" w:cs="Arial"/>
              </w:rPr>
              <w:t>no</w:t>
            </w:r>
            <w:proofErr w:type="gramEnd"/>
            <w:r w:rsidRPr="009B5332">
              <w:rPr>
                <w:rFonts w:eastAsia="Times New Roman" w:cs="Arial"/>
              </w:rPr>
              <w:t xml:space="preserve"> indemnity policies are required. Additional disbursements may apply if indemnity policies are required.</w:t>
            </w:r>
          </w:p>
          <w:p w:rsidR="00392152" w:rsidRPr="009B5332" w:rsidRDefault="00392152" w:rsidP="00C6696D"/>
        </w:tc>
      </w:tr>
      <w:tr w:rsidR="00392152"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152" w:rsidRDefault="00392152" w:rsidP="00C6696D">
            <w:r>
              <w:rPr>
                <w:b/>
                <w:bCs/>
              </w:rPr>
              <w:t>Basis for charges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392152" w:rsidRPr="009B5332" w:rsidRDefault="00A77A85" w:rsidP="00C6696D">
            <w:r w:rsidRPr="009B5332">
              <w:t>Fixed fees &amp; Vat @ 20%</w:t>
            </w:r>
          </w:p>
          <w:p w:rsidR="00392152" w:rsidRPr="009B5332" w:rsidRDefault="00392152" w:rsidP="00C6696D">
            <w:r w:rsidRPr="009B5332">
              <w:t xml:space="preserve"> </w:t>
            </w:r>
          </w:p>
        </w:tc>
      </w:tr>
      <w:tr w:rsidR="00392152"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152" w:rsidRDefault="00392152" w:rsidP="00C6696D">
            <w:r>
              <w:rPr>
                <w:b/>
                <w:bCs/>
              </w:rPr>
              <w:lastRenderedPageBreak/>
              <w:t>Description of and cost of any likely disbursements.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77A85" w:rsidRPr="009B5332" w:rsidRDefault="00A77A85" w:rsidP="00A77A85">
            <w:pPr>
              <w:pStyle w:val="NormalWeb"/>
              <w:spacing w:before="0" w:beforeAutospacing="0" w:after="300" w:afterAutospacing="0" w:line="375" w:lineRule="atLeast"/>
              <w:rPr>
                <w:rFonts w:asciiTheme="minorHAnsi" w:hAnsiTheme="minorHAnsi" w:cs="Arial"/>
                <w:sz w:val="22"/>
                <w:szCs w:val="22"/>
              </w:rPr>
            </w:pPr>
            <w:r w:rsidRPr="009B5332">
              <w:rPr>
                <w:rFonts w:asciiTheme="minorHAnsi" w:hAnsiTheme="minorHAnsi" w:cs="Arial"/>
                <w:sz w:val="22"/>
                <w:szCs w:val="22"/>
              </w:rPr>
              <w:t>Disbursements are costs related to your matter that are payable to third parties, such as search fees. We handle the payment of the disbursements on your behalf to ensure a smoother process. There are certain disbursements which will be set out in the individual lease relating to the Property. The disbursements which we anticipate will apply are set out separately below. This list is not exhaustive and other disbursements may apply depending on the term of the lease. We will update you on the specific fees upon receipt and review of the lease from the seller's solicitors.</w:t>
            </w:r>
          </w:p>
          <w:p w:rsidR="00A77A85" w:rsidRPr="009B5332" w:rsidRDefault="00A77A85" w:rsidP="00A77A85">
            <w:pPr>
              <w:pStyle w:val="Heading6"/>
              <w:spacing w:before="150" w:beforeAutospacing="0" w:after="240" w:afterAutospacing="0"/>
              <w:rPr>
                <w:rStyle w:val="Hyperlink"/>
                <w:rFonts w:asciiTheme="minorHAnsi" w:eastAsia="Times New Roman" w:hAnsiTheme="minorHAnsi" w:cs="Helvetica"/>
                <w:b w:val="0"/>
                <w:bCs w:val="0"/>
                <w:color w:val="auto"/>
                <w:spacing w:val="-5"/>
                <w:sz w:val="22"/>
                <w:szCs w:val="22"/>
              </w:rPr>
            </w:pPr>
            <w:r w:rsidRPr="009B5332">
              <w:rPr>
                <w:rFonts w:asciiTheme="minorHAnsi" w:eastAsia="Times New Roman" w:hAnsiTheme="minorHAnsi" w:cs="Helvetica"/>
                <w:b w:val="0"/>
                <w:bCs w:val="0"/>
                <w:spacing w:val="-5"/>
                <w:sz w:val="22"/>
                <w:szCs w:val="22"/>
              </w:rPr>
              <w:t>Anticipated Disbursements</w:t>
            </w:r>
            <w:hyperlink r:id="rId6" w:anchor="star3" w:history="1">
              <w:r w:rsidRPr="009B5332">
                <w:rPr>
                  <w:rStyle w:val="Hyperlink"/>
                  <w:rFonts w:asciiTheme="minorHAnsi" w:eastAsia="Times New Roman" w:hAnsiTheme="minorHAnsi" w:cs="Helvetica"/>
                  <w:b w:val="0"/>
                  <w:bCs w:val="0"/>
                  <w:color w:val="auto"/>
                  <w:spacing w:val="-5"/>
                  <w:sz w:val="22"/>
                  <w:szCs w:val="22"/>
                </w:rPr>
                <w:t>*</w:t>
              </w:r>
            </w:hyperlink>
          </w:p>
          <w:p w:rsidR="00384C0B" w:rsidRPr="009B5332" w:rsidRDefault="00384C0B" w:rsidP="00384C0B">
            <w:pPr>
              <w:pStyle w:val="Heading6"/>
              <w:numPr>
                <w:ilvl w:val="0"/>
                <w:numId w:val="4"/>
              </w:numPr>
              <w:spacing w:before="150" w:beforeAutospacing="0" w:after="240" w:afterAutospacing="0"/>
              <w:rPr>
                <w:rFonts w:asciiTheme="minorHAnsi" w:eastAsia="Times New Roman" w:hAnsiTheme="minorHAnsi" w:cs="Helvetica"/>
                <w:b w:val="0"/>
                <w:bCs w:val="0"/>
                <w:spacing w:val="-5"/>
                <w:sz w:val="22"/>
                <w:szCs w:val="22"/>
              </w:rPr>
            </w:pPr>
            <w:r w:rsidRPr="009B5332">
              <w:rPr>
                <w:rFonts w:asciiTheme="minorHAnsi" w:hAnsiTheme="minorHAnsi" w:cs="Arial"/>
                <w:b w:val="0"/>
                <w:sz w:val="22"/>
                <w:szCs w:val="22"/>
              </w:rPr>
              <w:t>Office Copy Entry Fee £6.00 per registered title</w:t>
            </w:r>
          </w:p>
          <w:p w:rsidR="00A77A85" w:rsidRPr="009B5332" w:rsidRDefault="00A77A85" w:rsidP="00A77A85">
            <w:pPr>
              <w:numPr>
                <w:ilvl w:val="0"/>
                <w:numId w:val="2"/>
              </w:numPr>
              <w:spacing w:before="100" w:beforeAutospacing="1" w:after="180" w:line="240" w:lineRule="auto"/>
              <w:rPr>
                <w:rFonts w:eastAsia="Times New Roman" w:cs="Arial"/>
              </w:rPr>
            </w:pPr>
            <w:r w:rsidRPr="009B5332">
              <w:rPr>
                <w:rFonts w:eastAsia="Times New Roman" w:cs="Arial"/>
              </w:rPr>
              <w:t>Obtaining up to date ground rent information/freehold pack</w:t>
            </w:r>
            <w:proofErr w:type="gramStart"/>
            <w:r w:rsidRPr="009B5332">
              <w:rPr>
                <w:rFonts w:eastAsia="Times New Roman" w:cs="Arial"/>
              </w:rPr>
              <w:t>  –</w:t>
            </w:r>
            <w:proofErr w:type="gramEnd"/>
            <w:r w:rsidRPr="009B5332">
              <w:rPr>
                <w:rFonts w:eastAsia="Times New Roman" w:cs="Arial"/>
              </w:rPr>
              <w:t xml:space="preserve"> This fee if chargeable is set out in the lease. Often the fee is between 100.00 and 200.00 </w:t>
            </w:r>
          </w:p>
          <w:p w:rsidR="00A77A85" w:rsidRPr="009B5332" w:rsidRDefault="00A77A85" w:rsidP="00A77A85">
            <w:pPr>
              <w:numPr>
                <w:ilvl w:val="0"/>
                <w:numId w:val="2"/>
              </w:numPr>
              <w:spacing w:before="100" w:beforeAutospacing="1" w:after="180" w:line="240" w:lineRule="auto"/>
              <w:rPr>
                <w:rFonts w:eastAsia="Times New Roman" w:cs="Arial"/>
              </w:rPr>
            </w:pPr>
            <w:r w:rsidRPr="009B5332">
              <w:rPr>
                <w:rFonts w:eastAsia="Times New Roman" w:cs="Arial"/>
              </w:rPr>
              <w:t>Obtaining the management pack from the management company Often the fee is between 100.00 and 300.00</w:t>
            </w:r>
          </w:p>
          <w:p w:rsidR="00A77A85" w:rsidRPr="009B5332" w:rsidRDefault="00A77A85" w:rsidP="00A77A85">
            <w:pPr>
              <w:numPr>
                <w:ilvl w:val="0"/>
                <w:numId w:val="2"/>
              </w:numPr>
              <w:spacing w:before="100" w:beforeAutospacing="1" w:after="180" w:line="240" w:lineRule="auto"/>
              <w:rPr>
                <w:rFonts w:eastAsia="Times New Roman" w:cs="Arial"/>
              </w:rPr>
            </w:pPr>
            <w:r w:rsidRPr="009B5332">
              <w:rPr>
                <w:rFonts w:eastAsia="Times New Roman" w:cs="Arial"/>
              </w:rPr>
              <w:t>Deed of Covenant fee – This fee is provided by the management company for the property and can be difficult to estimate. Often it is between 100.00 and 250.00</w:t>
            </w:r>
          </w:p>
          <w:p w:rsidR="00A77A85" w:rsidRPr="009B5332" w:rsidRDefault="00A77A85" w:rsidP="00A77A85">
            <w:pPr>
              <w:pStyle w:val="NormalWeb"/>
              <w:spacing w:before="0" w:beforeAutospacing="0" w:after="300" w:afterAutospacing="0" w:line="375" w:lineRule="atLeast"/>
              <w:rPr>
                <w:rFonts w:asciiTheme="minorHAnsi" w:hAnsiTheme="minorHAnsi" w:cs="Arial"/>
                <w:sz w:val="22"/>
                <w:szCs w:val="22"/>
              </w:rPr>
            </w:pPr>
            <w:r w:rsidRPr="009B5332">
              <w:rPr>
                <w:rFonts w:asciiTheme="minorHAnsi" w:hAnsiTheme="minorHAnsi" w:cs="Arial"/>
                <w:sz w:val="22"/>
                <w:szCs w:val="22"/>
              </w:rPr>
              <w:t>*These fees vary from property to property and can on occasion be significantly more than the ranges given above. We can give you an accurate figure once we have sight of your specific documents.</w:t>
            </w:r>
          </w:p>
          <w:p w:rsidR="00392152" w:rsidRPr="009B5332" w:rsidRDefault="00A77A85" w:rsidP="001D5A20">
            <w:pPr>
              <w:pStyle w:val="NormalWeb"/>
              <w:spacing w:before="0" w:beforeAutospacing="0" w:after="300" w:afterAutospacing="0" w:line="375" w:lineRule="atLeast"/>
              <w:rPr>
                <w:rFonts w:asciiTheme="minorHAnsi" w:hAnsiTheme="minorHAnsi" w:cs="Arial"/>
                <w:sz w:val="22"/>
                <w:szCs w:val="22"/>
              </w:rPr>
            </w:pPr>
            <w:r w:rsidRPr="009B5332">
              <w:rPr>
                <w:rFonts w:asciiTheme="minorHAnsi" w:hAnsiTheme="minorHAnsi" w:cs="Arial"/>
                <w:sz w:val="22"/>
                <w:szCs w:val="22"/>
              </w:rPr>
              <w:t>You should also be aware that ground rent and service charge are likely to apply throughout your ownership of the property. We will confirm the ground rent and the anticipated service charge as soon as this we receive this information.</w:t>
            </w:r>
          </w:p>
        </w:tc>
      </w:tr>
      <w:tr w:rsidR="00392152"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152" w:rsidRDefault="00392152" w:rsidP="00C6696D">
            <w:pPr>
              <w:rPr>
                <w:b/>
                <w:bCs/>
              </w:rPr>
            </w:pPr>
            <w:r>
              <w:rPr>
                <w:b/>
                <w:bCs/>
              </w:rPr>
              <w:t>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77A85" w:rsidRPr="009B5332" w:rsidRDefault="00A77A85" w:rsidP="00A77A85">
            <w:pPr>
              <w:pStyle w:val="NormalWeb"/>
              <w:spacing w:before="0" w:beforeAutospacing="0" w:after="300" w:afterAutospacing="0" w:line="375" w:lineRule="atLeast"/>
              <w:rPr>
                <w:rFonts w:asciiTheme="minorHAnsi" w:hAnsiTheme="minorHAnsi" w:cs="Arial"/>
                <w:sz w:val="22"/>
                <w:szCs w:val="22"/>
              </w:rPr>
            </w:pPr>
            <w:r w:rsidRPr="009B5332">
              <w:rPr>
                <w:rFonts w:asciiTheme="minorHAnsi" w:hAnsiTheme="minorHAnsi" w:cs="Arial"/>
                <w:sz w:val="22"/>
                <w:szCs w:val="22"/>
              </w:rPr>
              <w:t>The precise stages involved in the sale of a residential leasehold property vary according to the circumstances. However, below we have suggested some key stages that you may wish to include:</w:t>
            </w:r>
          </w:p>
          <w:p w:rsidR="00A77A85" w:rsidRPr="009B5332" w:rsidRDefault="00A77A85" w:rsidP="00A77A85">
            <w:pPr>
              <w:pStyle w:val="NormalWeb"/>
              <w:spacing w:before="0" w:beforeAutospacing="0" w:after="300" w:afterAutospacing="0" w:line="375" w:lineRule="atLeast"/>
              <w:rPr>
                <w:rFonts w:asciiTheme="minorHAnsi" w:hAnsiTheme="minorHAnsi" w:cs="Arial"/>
                <w:sz w:val="22"/>
                <w:szCs w:val="22"/>
              </w:rPr>
            </w:pPr>
            <w:r w:rsidRPr="009B5332">
              <w:rPr>
                <w:rFonts w:asciiTheme="minorHAnsi" w:hAnsiTheme="minorHAnsi" w:cs="Arial"/>
                <w:sz w:val="22"/>
                <w:szCs w:val="22"/>
              </w:rPr>
              <w:t>The precise stages involved in the sale of a residential leasehold property vary according to the circumstances. However, below we have suggested some key stages that you may wish to include:</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Take your instructions and give you initial advice</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Download Land Registry Documents and review the property title</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lastRenderedPageBreak/>
              <w:t xml:space="preserve">Draft contract documents and sent to the buyers solicitors </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Deal with any enquiries raised by the Buyers solicitors</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 xml:space="preserve">Apply for freehold and management packs from the freeholder and management company </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 xml:space="preserve">Deal with any additional enquiries which may be raised by the buyers solicitors which will need to be passed to third parties such as freeholders and management companies </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Obtain further planning documentation if required</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Give you advice on all documents and information received</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Send final contract to you for signature</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Agree completion date (date from which you own the property)</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Exchange contracts and notify you that this has happened</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Deal with any ground rent and service charge apportionments</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Complete sale</w:t>
            </w:r>
          </w:p>
          <w:p w:rsidR="00A77A85" w:rsidRPr="009B5332" w:rsidRDefault="00A77A85" w:rsidP="00A77A85">
            <w:pPr>
              <w:numPr>
                <w:ilvl w:val="0"/>
                <w:numId w:val="1"/>
              </w:numPr>
              <w:spacing w:before="100" w:beforeAutospacing="1" w:after="180" w:line="240" w:lineRule="auto"/>
              <w:rPr>
                <w:rFonts w:eastAsia="Times New Roman" w:cs="Arial"/>
              </w:rPr>
            </w:pPr>
            <w:r w:rsidRPr="009B5332">
              <w:rPr>
                <w:rFonts w:eastAsia="Times New Roman" w:cs="Arial"/>
              </w:rPr>
              <w:t>Discharge any mortgages of charges registered against the property.</w:t>
            </w:r>
          </w:p>
          <w:p w:rsidR="00392152" w:rsidRPr="009B5332" w:rsidRDefault="00A77A85" w:rsidP="00C6696D">
            <w:pPr>
              <w:numPr>
                <w:ilvl w:val="0"/>
                <w:numId w:val="1"/>
              </w:numPr>
              <w:spacing w:before="100" w:beforeAutospacing="1" w:after="180" w:line="240" w:lineRule="auto"/>
              <w:rPr>
                <w:rFonts w:eastAsia="Times New Roman" w:cs="Arial"/>
              </w:rPr>
            </w:pPr>
            <w:r w:rsidRPr="009B5332">
              <w:rPr>
                <w:rFonts w:eastAsia="Times New Roman" w:cs="Arial"/>
              </w:rPr>
              <w:t xml:space="preserve">Discharge any outstanding ground rent or service charge arrears with the freeholder or management company </w:t>
            </w:r>
          </w:p>
        </w:tc>
      </w:tr>
      <w:tr w:rsidR="00392152"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152" w:rsidRDefault="00392152" w:rsidP="00C6696D">
            <w:pPr>
              <w:rPr>
                <w:b/>
                <w:bCs/>
              </w:rPr>
            </w:pPr>
            <w:r>
              <w:rPr>
                <w:b/>
                <w:bCs/>
              </w:rPr>
              <w:lastRenderedPageBreak/>
              <w:t>Timescales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392152" w:rsidRPr="009B5332" w:rsidRDefault="00D903CD" w:rsidP="00D903CD">
            <w:pPr>
              <w:pStyle w:val="NormalWeb"/>
              <w:spacing w:before="0" w:beforeAutospacing="0" w:after="300" w:afterAutospacing="0" w:line="375" w:lineRule="atLeast"/>
              <w:rPr>
                <w:rFonts w:asciiTheme="minorHAnsi" w:hAnsiTheme="minorHAnsi" w:cs="Arial"/>
                <w:sz w:val="22"/>
                <w:szCs w:val="22"/>
              </w:rPr>
            </w:pPr>
            <w:r w:rsidRPr="009B5332">
              <w:rPr>
                <w:rFonts w:asciiTheme="minorHAnsi" w:hAnsiTheme="minorHAnsi" w:cs="Arial"/>
                <w:sz w:val="22"/>
                <w:szCs w:val="22"/>
              </w:rPr>
              <w:t xml:space="preserve">How long it will take from your offer being accepted until you can move will depend on a number of factors. The average process takes between 8-12 weeks. It can be quicker or slower, depending on the parties in the chain. For example, if you are a first time buyer, purchasing a new build property with a mortgage in principle, it could take 4 </w:t>
            </w:r>
            <w:r w:rsidR="001D5A20" w:rsidRPr="009B5332">
              <w:rPr>
                <w:rFonts w:asciiTheme="minorHAnsi" w:hAnsiTheme="minorHAnsi" w:cs="Arial"/>
                <w:sz w:val="22"/>
                <w:szCs w:val="22"/>
              </w:rPr>
              <w:t>weeks. However, if a leasehold property</w:t>
            </w:r>
            <w:r w:rsidRPr="009B5332">
              <w:rPr>
                <w:rFonts w:asciiTheme="minorHAnsi" w:hAnsiTheme="minorHAnsi" w:cs="Arial"/>
                <w:sz w:val="22"/>
                <w:szCs w:val="22"/>
              </w:rPr>
              <w:t xml:space="preserve"> requires an extension of the lease, this can take significantly longer, between </w:t>
            </w:r>
            <w:r w:rsidR="001D5A20" w:rsidRPr="009B5332">
              <w:rPr>
                <w:rFonts w:asciiTheme="minorHAnsi" w:hAnsiTheme="minorHAnsi" w:cs="Arial"/>
                <w:sz w:val="22"/>
                <w:szCs w:val="22"/>
              </w:rPr>
              <w:t xml:space="preserve">4 and 6 months. In such </w:t>
            </w:r>
            <w:r w:rsidRPr="009B5332">
              <w:rPr>
                <w:rFonts w:asciiTheme="minorHAnsi" w:hAnsiTheme="minorHAnsi" w:cs="Arial"/>
                <w:sz w:val="22"/>
                <w:szCs w:val="22"/>
              </w:rPr>
              <w:t>a situation additional charges would apply.</w:t>
            </w:r>
          </w:p>
        </w:tc>
      </w:tr>
    </w:tbl>
    <w:p w:rsidR="00F42743" w:rsidRDefault="00F42743"/>
    <w:p w:rsidR="00F42743" w:rsidRDefault="00F42743"/>
    <w:p w:rsidR="00F42743" w:rsidRDefault="00F42743"/>
    <w:p w:rsidR="00F42743" w:rsidRPr="00B460F2" w:rsidRDefault="00F42743" w:rsidP="00F42743">
      <w:pPr>
        <w:rPr>
          <w:b/>
          <w:sz w:val="24"/>
          <w:szCs w:val="24"/>
          <w:u w:val="single"/>
        </w:rPr>
      </w:pPr>
      <w:r>
        <w:rPr>
          <w:b/>
          <w:sz w:val="24"/>
          <w:szCs w:val="24"/>
          <w:u w:val="single"/>
        </w:rPr>
        <w:t xml:space="preserve">Residential Property </w:t>
      </w:r>
      <w:r w:rsidRPr="00985DFA">
        <w:rPr>
          <w:b/>
          <w:sz w:val="24"/>
          <w:szCs w:val="24"/>
          <w:u w:val="single"/>
        </w:rPr>
        <w:t>team</w:t>
      </w:r>
    </w:p>
    <w:tbl>
      <w:tblPr>
        <w:tblW w:w="0" w:type="auto"/>
        <w:tblCellMar>
          <w:left w:w="0" w:type="dxa"/>
          <w:right w:w="0" w:type="dxa"/>
        </w:tblCellMar>
        <w:tblLook w:val="04A0" w:firstRow="1" w:lastRow="0" w:firstColumn="1" w:lastColumn="0" w:noHBand="0" w:noVBand="1"/>
      </w:tblPr>
      <w:tblGrid>
        <w:gridCol w:w="2310"/>
        <w:gridCol w:w="2310"/>
        <w:gridCol w:w="2434"/>
        <w:gridCol w:w="2188"/>
      </w:tblGrid>
      <w:tr w:rsidR="00F42743" w:rsidTr="008C05F1">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2743" w:rsidRDefault="00F42743" w:rsidP="008C05F1">
            <w:pPr>
              <w:rPr>
                <w:b/>
                <w:bCs/>
              </w:rPr>
            </w:pPr>
            <w:r>
              <w:rPr>
                <w:b/>
                <w:bCs/>
              </w:rPr>
              <w:t xml:space="preserve">Name </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2743" w:rsidRDefault="00F42743" w:rsidP="008C05F1">
            <w:pPr>
              <w:rPr>
                <w:b/>
                <w:bCs/>
              </w:rPr>
            </w:pPr>
            <w:r>
              <w:rPr>
                <w:b/>
                <w:bCs/>
              </w:rPr>
              <w:t>Job Title / Role (identify if supervisor)</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2743" w:rsidRDefault="00F42743" w:rsidP="008C05F1">
            <w:pPr>
              <w:rPr>
                <w:b/>
                <w:bCs/>
              </w:rPr>
            </w:pPr>
            <w:r>
              <w:rPr>
                <w:b/>
                <w:bCs/>
              </w:rPr>
              <w:t>Qualification(s)</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2743" w:rsidRDefault="00F42743" w:rsidP="008C05F1">
            <w:pPr>
              <w:rPr>
                <w:b/>
                <w:bCs/>
              </w:rPr>
            </w:pPr>
            <w:r>
              <w:rPr>
                <w:b/>
                <w:bCs/>
              </w:rPr>
              <w:t>No of years experience in field</w:t>
            </w:r>
          </w:p>
        </w:tc>
      </w:tr>
      <w:tr w:rsidR="00F42743"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743" w:rsidRDefault="00F42743" w:rsidP="008C05F1">
            <w:r>
              <w:t>Tracey Quirk</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Solicitor - Partner </w:t>
            </w:r>
          </w:p>
          <w:p w:rsidR="00F42743" w:rsidRDefault="00F42743" w:rsidP="008C05F1">
            <w:r>
              <w:t>Supervisor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F42743">
            <w:r>
              <w:t>LLB (HONS)</w:t>
            </w:r>
          </w:p>
          <w:p w:rsidR="00F42743" w:rsidRDefault="00F42743" w:rsidP="00F42743">
            <w:r>
              <w:t xml:space="preserve">Post Graduate Diploma </w:t>
            </w:r>
            <w:r>
              <w:lastRenderedPageBreak/>
              <w:t>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lastRenderedPageBreak/>
              <w:t>18</w:t>
            </w:r>
          </w:p>
        </w:tc>
      </w:tr>
      <w:tr w:rsidR="00F42743"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743" w:rsidRDefault="00F42743" w:rsidP="008C05F1">
            <w:r>
              <w:lastRenderedPageBreak/>
              <w:t>Catherine Brown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20</w:t>
            </w:r>
          </w:p>
        </w:tc>
      </w:tr>
      <w:tr w:rsidR="00F42743" w:rsidTr="00F4274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743" w:rsidRDefault="00F42743" w:rsidP="008C05F1">
            <w:r>
              <w:t>Andrea Cheesman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BA (HONS) English and Law </w:t>
            </w:r>
          </w:p>
          <w:p w:rsidR="00F42743" w:rsidRDefault="00F42743"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20</w:t>
            </w:r>
          </w:p>
        </w:tc>
      </w:tr>
      <w:tr w:rsidR="00F42743" w:rsidTr="00F4274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743" w:rsidRDefault="00F42743" w:rsidP="008C05F1">
            <w:r>
              <w:t>Sarah McGuinness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Solicitor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F42743">
            <w:r>
              <w:t>LLB (HONS)</w:t>
            </w:r>
          </w:p>
          <w:p w:rsidR="00F42743" w:rsidRDefault="00F42743" w:rsidP="00F42743">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1.5 </w:t>
            </w:r>
          </w:p>
        </w:tc>
      </w:tr>
      <w:tr w:rsidR="00F42743" w:rsidTr="00F4274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743" w:rsidRDefault="00F42743" w:rsidP="008C05F1">
            <w:r>
              <w:t>Georgia Kearney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Level 3 ILEX</w:t>
            </w:r>
          </w:p>
          <w:p w:rsidR="00F42743" w:rsidRDefault="00F42743" w:rsidP="008C05F1">
            <w:r>
              <w:t>Level 3 Apprenticeship</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2</w:t>
            </w:r>
          </w:p>
        </w:tc>
      </w:tr>
      <w:tr w:rsidR="00F42743" w:rsidTr="00F4274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743" w:rsidRDefault="00F42743" w:rsidP="008C05F1">
            <w:r>
              <w:t>Emma Cunningham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Senior  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42743" w:rsidRDefault="00971CFC" w:rsidP="008C05F1">
            <w:proofErr w:type="spellStart"/>
            <w:r>
              <w:t>CILEx</w:t>
            </w:r>
            <w:proofErr w:type="spellEnd"/>
            <w:r>
              <w:t xml:space="preserve"> Paralegal</w:t>
            </w:r>
          </w:p>
          <w:p w:rsidR="00971CFC" w:rsidRDefault="00971CFC" w:rsidP="008C05F1">
            <w:r>
              <w:t xml:space="preserve">Associate Member of </w:t>
            </w:r>
            <w:proofErr w:type="spellStart"/>
            <w:r>
              <w:t>CILEx</w:t>
            </w:r>
            <w:proofErr w:type="spellEnd"/>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11 </w:t>
            </w:r>
          </w:p>
        </w:tc>
      </w:tr>
      <w:tr w:rsidR="00F42743" w:rsidTr="00F4274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2743" w:rsidRDefault="00F42743" w:rsidP="008C05F1">
            <w:r>
              <w:t>Jennifer Cunningham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ILEX Level 3 Diploma in Law and Practice</w:t>
            </w:r>
          </w:p>
          <w:p w:rsidR="00971CFC" w:rsidRDefault="00971CFC" w:rsidP="008C05F1">
            <w:r>
              <w:t xml:space="preserve">Associate Member of </w:t>
            </w:r>
            <w:proofErr w:type="spellStart"/>
            <w:r>
              <w:t>CILEx</w:t>
            </w:r>
            <w:proofErr w:type="spellEnd"/>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F42743" w:rsidRDefault="00F42743" w:rsidP="008C05F1">
            <w:r>
              <w:t>3</w:t>
            </w:r>
          </w:p>
        </w:tc>
      </w:tr>
      <w:tr w:rsidR="00971CFC" w:rsidTr="00971CFC">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CFC" w:rsidRDefault="00971CFC" w:rsidP="008C05F1">
            <w:r>
              <w:t>Debbie Kerwin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r>
              <w:t>25</w:t>
            </w:r>
          </w:p>
        </w:tc>
      </w:tr>
      <w:tr w:rsidR="00971CFC" w:rsidTr="00971CFC">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CFC" w:rsidRDefault="00971CFC" w:rsidP="008C05F1">
            <w:r>
              <w:t>Esme Poulter</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r>
              <w:t>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971CFC">
            <w:r>
              <w:t>LLB (HONS)</w:t>
            </w:r>
          </w:p>
          <w:p w:rsidR="00971CFC" w:rsidRDefault="00971CFC" w:rsidP="00971CFC">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r>
              <w:t>21</w:t>
            </w:r>
          </w:p>
        </w:tc>
      </w:tr>
      <w:tr w:rsidR="00971CFC" w:rsidTr="00971CFC">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1CFC" w:rsidRDefault="00971CFC" w:rsidP="008C05F1">
            <w:r>
              <w:t>Craig Passey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r>
              <w:t>Conveyancing Executive</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971CFC" w:rsidRDefault="00971CFC" w:rsidP="008C05F1">
            <w:r>
              <w:t>8</w:t>
            </w:r>
          </w:p>
        </w:tc>
      </w:tr>
    </w:tbl>
    <w:p w:rsidR="003B7793" w:rsidRDefault="003B7793"/>
    <w:p w:rsidR="003B7793" w:rsidRDefault="003B7793"/>
    <w:sectPr w:rsidR="003B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5EE"/>
    <w:multiLevelType w:val="multilevel"/>
    <w:tmpl w:val="61D2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E85A9D"/>
    <w:multiLevelType w:val="multilevel"/>
    <w:tmpl w:val="067AEF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34F14961"/>
    <w:multiLevelType w:val="hybridMultilevel"/>
    <w:tmpl w:val="A404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57A20"/>
    <w:multiLevelType w:val="multilevel"/>
    <w:tmpl w:val="C7F6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EF7946"/>
    <w:multiLevelType w:val="hybridMultilevel"/>
    <w:tmpl w:val="8482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3"/>
    <w:rsid w:val="000949F2"/>
    <w:rsid w:val="001D5A20"/>
    <w:rsid w:val="002A623D"/>
    <w:rsid w:val="00384C0B"/>
    <w:rsid w:val="00392152"/>
    <w:rsid w:val="003B7793"/>
    <w:rsid w:val="0046345C"/>
    <w:rsid w:val="006A0D45"/>
    <w:rsid w:val="006F3AD7"/>
    <w:rsid w:val="00754707"/>
    <w:rsid w:val="00825CCA"/>
    <w:rsid w:val="00971CFC"/>
    <w:rsid w:val="009B5332"/>
    <w:rsid w:val="00A4247B"/>
    <w:rsid w:val="00A77A85"/>
    <w:rsid w:val="00C571C8"/>
    <w:rsid w:val="00D903CD"/>
    <w:rsid w:val="00F4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A77A85"/>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A8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A77A85"/>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A77A85"/>
    <w:rPr>
      <w:color w:val="0000FF"/>
      <w:u w:val="single"/>
    </w:rPr>
  </w:style>
  <w:style w:type="paragraph" w:styleId="ListParagraph">
    <w:name w:val="List Paragraph"/>
    <w:basedOn w:val="Normal"/>
    <w:uiPriority w:val="34"/>
    <w:qFormat/>
    <w:rsid w:val="009B5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A77A85"/>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A8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A77A85"/>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A77A85"/>
    <w:rPr>
      <w:color w:val="0000FF"/>
      <w:u w:val="single"/>
    </w:rPr>
  </w:style>
  <w:style w:type="paragraph" w:styleId="ListParagraph">
    <w:name w:val="List Paragraph"/>
    <w:basedOn w:val="Normal"/>
    <w:uiPriority w:val="34"/>
    <w:qFormat/>
    <w:rsid w:val="009B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086">
      <w:bodyDiv w:val="1"/>
      <w:marLeft w:val="0"/>
      <w:marRight w:val="0"/>
      <w:marTop w:val="0"/>
      <w:marBottom w:val="0"/>
      <w:divBdr>
        <w:top w:val="none" w:sz="0" w:space="0" w:color="auto"/>
        <w:left w:val="none" w:sz="0" w:space="0" w:color="auto"/>
        <w:bottom w:val="none" w:sz="0" w:space="0" w:color="auto"/>
        <w:right w:val="none" w:sz="0" w:space="0" w:color="auto"/>
      </w:divBdr>
    </w:div>
    <w:div w:id="1292512480">
      <w:bodyDiv w:val="1"/>
      <w:marLeft w:val="0"/>
      <w:marRight w:val="0"/>
      <w:marTop w:val="0"/>
      <w:marBottom w:val="0"/>
      <w:divBdr>
        <w:top w:val="none" w:sz="0" w:space="0" w:color="auto"/>
        <w:left w:val="none" w:sz="0" w:space="0" w:color="auto"/>
        <w:bottom w:val="none" w:sz="0" w:space="0" w:color="auto"/>
        <w:right w:val="none" w:sz="0" w:space="0" w:color="auto"/>
      </w:divBdr>
    </w:div>
    <w:div w:id="1332222010">
      <w:bodyDiv w:val="1"/>
      <w:marLeft w:val="0"/>
      <w:marRight w:val="0"/>
      <w:marTop w:val="0"/>
      <w:marBottom w:val="0"/>
      <w:divBdr>
        <w:top w:val="none" w:sz="0" w:space="0" w:color="auto"/>
        <w:left w:val="none" w:sz="0" w:space="0" w:color="auto"/>
        <w:bottom w:val="none" w:sz="0" w:space="0" w:color="auto"/>
        <w:right w:val="none" w:sz="0" w:space="0" w:color="auto"/>
      </w:divBdr>
    </w:div>
    <w:div w:id="1357461670">
      <w:bodyDiv w:val="1"/>
      <w:marLeft w:val="0"/>
      <w:marRight w:val="0"/>
      <w:marTop w:val="0"/>
      <w:marBottom w:val="0"/>
      <w:divBdr>
        <w:top w:val="none" w:sz="0" w:space="0" w:color="auto"/>
        <w:left w:val="none" w:sz="0" w:space="0" w:color="auto"/>
        <w:bottom w:val="none" w:sz="0" w:space="0" w:color="auto"/>
        <w:right w:val="none" w:sz="0" w:space="0" w:color="auto"/>
      </w:divBdr>
    </w:div>
    <w:div w:id="1566332553">
      <w:bodyDiv w:val="1"/>
      <w:marLeft w:val="0"/>
      <w:marRight w:val="0"/>
      <w:marTop w:val="0"/>
      <w:marBottom w:val="0"/>
      <w:divBdr>
        <w:top w:val="none" w:sz="0" w:space="0" w:color="auto"/>
        <w:left w:val="none" w:sz="0" w:space="0" w:color="auto"/>
        <w:bottom w:val="none" w:sz="0" w:space="0" w:color="auto"/>
        <w:right w:val="none" w:sz="0" w:space="0" w:color="auto"/>
      </w:divBdr>
    </w:div>
    <w:div w:id="18002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a.org.uk/solicitors/guidance/ethics-guidance/price-transparency.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Thompson</dc:creator>
  <cp:lastModifiedBy>Tracy Thompson</cp:lastModifiedBy>
  <cp:revision>7</cp:revision>
  <dcterms:created xsi:type="dcterms:W3CDTF">2018-12-04T10:16:00Z</dcterms:created>
  <dcterms:modified xsi:type="dcterms:W3CDTF">2018-12-13T12:55:00Z</dcterms:modified>
</cp:coreProperties>
</file>